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4A" w:rsidRPr="00787BF1" w:rsidRDefault="0016514A" w:rsidP="0016514A">
      <w:pPr>
        <w:pStyle w:val="Heading2"/>
      </w:pPr>
      <w:bookmarkStart w:id="0" w:name="_Toc155342850"/>
      <w:bookmarkStart w:id="1" w:name="_GoBack"/>
      <w:r w:rsidRPr="00787BF1">
        <w:rPr>
          <w:b/>
          <w:sz w:val="24"/>
          <w:szCs w:val="24"/>
        </w:rPr>
        <w:t>172. KỸ THUẬT LẬP PHÁP</w:t>
      </w:r>
      <w:bookmarkEnd w:id="1"/>
      <w:r w:rsidRPr="00787BF1">
        <w:t xml:space="preserve">,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thống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phương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soạn</w:t>
      </w:r>
      <w:proofErr w:type="spellEnd"/>
      <w:r w:rsidRPr="00787BF1">
        <w:t xml:space="preserve"> </w:t>
      </w:r>
      <w:proofErr w:type="spellStart"/>
      <w:r w:rsidRPr="00787BF1">
        <w:t>thảo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diễn</w:t>
      </w:r>
      <w:proofErr w:type="spellEnd"/>
      <w:r w:rsidRPr="00787BF1">
        <w:t xml:space="preserve"> </w:t>
      </w:r>
      <w:proofErr w:type="spellStart"/>
      <w:r w:rsidRPr="00787BF1">
        <w:t>đạt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, logic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đạo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phù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chất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nội</w:t>
      </w:r>
      <w:proofErr w:type="spellEnd"/>
      <w:r w:rsidRPr="00787BF1">
        <w:t xml:space="preserve"> dung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chúng</w:t>
      </w:r>
      <w:proofErr w:type="spellEnd"/>
      <w:r w:rsidRPr="00787BF1">
        <w:t>.</w:t>
      </w:r>
      <w:bookmarkEnd w:id="0"/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KTLP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tâm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KTLP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diễn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>: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diễn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tưởng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tưởng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mực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vi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 xml:space="preserve">, minh </w:t>
      </w:r>
      <w:proofErr w:type="spellStart"/>
      <w:r w:rsidRPr="00787BF1">
        <w:rPr>
          <w:szCs w:val="28"/>
        </w:rPr>
        <w:t>bạch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dễ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dễ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nâng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. Theo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>.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>.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ổn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ổn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tiễn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nghiệm</w:t>
      </w:r>
      <w:proofErr w:type="spellEnd"/>
      <w:r w:rsidRPr="00787BF1">
        <w:rPr>
          <w:szCs w:val="28"/>
        </w:rPr>
        <w:t>.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, dung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Theo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, dung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gọn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logic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mâu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thuẩn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chéo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Theo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mặt</w:t>
      </w:r>
      <w:proofErr w:type="spellEnd"/>
      <w:r w:rsidRPr="00787BF1">
        <w:rPr>
          <w:szCs w:val="28"/>
        </w:rPr>
        <w:t xml:space="preserve"> KTLP,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mâu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</w:p>
    <w:p w:rsidR="0016514A" w:rsidRPr="00787BF1" w:rsidRDefault="0016514A" w:rsidP="0016514A">
      <w:pPr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VÕ KHÁNH VINH</w:t>
      </w:r>
    </w:p>
    <w:p w:rsidR="0016514A" w:rsidRPr="00787BF1" w:rsidRDefault="0016514A" w:rsidP="0016514A">
      <w:pPr>
        <w:spacing w:before="120"/>
        <w:ind w:firstLine="284"/>
        <w:jc w:val="both"/>
        <w:rPr>
          <w:b/>
          <w:sz w:val="24"/>
          <w:szCs w:val="24"/>
        </w:rPr>
      </w:pPr>
      <w:proofErr w:type="spellStart"/>
      <w:r w:rsidRPr="00787BF1">
        <w:rPr>
          <w:b/>
          <w:sz w:val="24"/>
          <w:szCs w:val="24"/>
        </w:rPr>
        <w:t>Tài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liệu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tham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khảo</w:t>
      </w:r>
      <w:proofErr w:type="spellEnd"/>
      <w:r w:rsidRPr="00787BF1">
        <w:rPr>
          <w:b/>
          <w:sz w:val="24"/>
          <w:szCs w:val="24"/>
        </w:rPr>
        <w:t>: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Động</w:t>
      </w:r>
      <w:proofErr w:type="spellEnd"/>
      <w:r w:rsidRPr="00787BF1">
        <w:rPr>
          <w:sz w:val="24"/>
          <w:szCs w:val="24"/>
        </w:rPr>
        <w:t>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dành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đào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sau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),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Sự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2017.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Huế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Võ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Khánh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Vinh</w:t>
      </w:r>
      <w:proofErr w:type="spellEnd"/>
      <w:r w:rsidRPr="00787BF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>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2016.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Hoàng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Thị</w:t>
      </w:r>
      <w:proofErr w:type="spellEnd"/>
      <w:r w:rsidRPr="00787BF1">
        <w:rPr>
          <w:sz w:val="24"/>
          <w:szCs w:val="24"/>
        </w:rPr>
        <w:t xml:space="preserve"> Kim </w:t>
      </w:r>
      <w:proofErr w:type="spellStart"/>
      <w:r w:rsidRPr="00787BF1">
        <w:rPr>
          <w:sz w:val="24"/>
          <w:szCs w:val="24"/>
        </w:rPr>
        <w:t>Quế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2015.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Lê</w:t>
      </w:r>
      <w:proofErr w:type="spellEnd"/>
      <w:r w:rsidRPr="00787BF1">
        <w:rPr>
          <w:sz w:val="24"/>
          <w:szCs w:val="24"/>
        </w:rPr>
        <w:t xml:space="preserve"> Minh </w:t>
      </w:r>
      <w:proofErr w:type="spellStart"/>
      <w:r w:rsidRPr="00787BF1">
        <w:rPr>
          <w:sz w:val="24"/>
          <w:szCs w:val="24"/>
        </w:rPr>
        <w:t>Tâm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Minh </w:t>
      </w:r>
      <w:proofErr w:type="spellStart"/>
      <w:r w:rsidRPr="00787BF1">
        <w:rPr>
          <w:sz w:val="24"/>
          <w:szCs w:val="24"/>
        </w:rPr>
        <w:t>Đoan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đồng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chủ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biên</w:t>
      </w:r>
      <w:proofErr w:type="spellEnd"/>
      <w:r w:rsidRPr="00787BF1">
        <w:rPr>
          <w:sz w:val="24"/>
          <w:szCs w:val="24"/>
        </w:rPr>
        <w:t>),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2014.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Từ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Bách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khoa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Tập</w:t>
      </w:r>
      <w:proofErr w:type="spellEnd"/>
      <w:r w:rsidRPr="00787BF1">
        <w:rPr>
          <w:sz w:val="24"/>
          <w:szCs w:val="24"/>
        </w:rPr>
        <w:t xml:space="preserve"> 2,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bách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2003.</w:t>
      </w:r>
    </w:p>
    <w:p w:rsidR="0016514A" w:rsidRPr="00787BF1" w:rsidRDefault="0016514A" w:rsidP="0016514A">
      <w:pPr>
        <w:pStyle w:val="ListParagraph"/>
        <w:numPr>
          <w:ilvl w:val="1"/>
          <w:numId w:val="1"/>
        </w:numPr>
        <w:tabs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Võ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Khánh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Vinh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Một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số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vấn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kỹ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lập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số</w:t>
      </w:r>
      <w:proofErr w:type="spellEnd"/>
      <w:r w:rsidRPr="00787BF1">
        <w:rPr>
          <w:sz w:val="24"/>
          <w:szCs w:val="24"/>
        </w:rPr>
        <w:t xml:space="preserve"> 8/2001.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D63E8"/>
    <w:multiLevelType w:val="multilevel"/>
    <w:tmpl w:val="2212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A"/>
    <w:rsid w:val="001324E1"/>
    <w:rsid w:val="0016514A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DC694-0D44-49CA-825B-51C2E4A6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4A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6514A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16514A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16514A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2025-12-15T03:50:00Z</dcterms:created>
  <dcterms:modified xsi:type="dcterms:W3CDTF">2025-12-15T03:50:00Z</dcterms:modified>
</cp:coreProperties>
</file>